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EC42" w14:textId="16DFDB2F" w:rsidR="00845D6F" w:rsidRDefault="00A362AE" w:rsidP="0087738D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F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26241" w:rsidRPr="00EF6F4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EF6F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F8275CF" w14:textId="77777777" w:rsidR="00376FD5" w:rsidRPr="00EF6F4F" w:rsidRDefault="00376FD5" w:rsidP="00EF6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EE4F7B" w14:textId="77777777" w:rsidR="00026241" w:rsidRPr="00EF6F4F" w:rsidRDefault="00376FD5" w:rsidP="00EF6F4F">
      <w:pPr>
        <w:pStyle w:val="Odlomakpopisa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EF6F4F">
        <w:rPr>
          <w:rFonts w:eastAsia="Times New Roman"/>
          <w:sz w:val="24"/>
          <w:szCs w:val="24"/>
        </w:rPr>
        <w:t>PRIJEDLOG</w:t>
      </w:r>
    </w:p>
    <w:p w14:paraId="636BEDE2" w14:textId="77777777" w:rsidR="00376FD5" w:rsidRPr="00EF6F4F" w:rsidRDefault="00376FD5" w:rsidP="00EF6F4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EF6F4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Na temelju članka 5. stavka 1. Zakona o sigurnosti prometa na cestama (Narodne novine 67/08, 48/10 – Odluka Ustavnog suda Republike Hrvatske, 74/11, 80/13, 158/13 – Odluka i Rješenje Ustavnog suda Republike Hrvatske, 92/14, 64/15, 108/17, 70/19, 42/20, 85/22, 114/22 i 133/23) i članka 41. točke 2. Statuta Grada Zagreba (Službeni glasnik Grada Zagreba 23/16, 2/18, 23/18, 3/20, 3/21, 11/21 – pročišćeni tekst i 16/22), uz prethodnu suglasnost Ministarstva unutarnjih poslova __________________i Ministarstva kulture i medija ______________________ Gradska skupština Grada Zagreba, na ____ sjednici, __________2024., donijela je</w:t>
      </w:r>
    </w:p>
    <w:p w14:paraId="3E91ECE4" w14:textId="77777777" w:rsidR="00376FD5" w:rsidRPr="00EF6F4F" w:rsidRDefault="00376FD5" w:rsidP="00EF6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39AEFB" w14:textId="77777777" w:rsidR="00376FD5" w:rsidRPr="00EF6F4F" w:rsidRDefault="00376FD5" w:rsidP="00EF6F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EF6F4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F6F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ODLUKU</w:t>
      </w:r>
    </w:p>
    <w:p w14:paraId="62FAD050" w14:textId="77777777" w:rsidR="00376FD5" w:rsidRPr="00EF6F4F" w:rsidRDefault="00376FD5" w:rsidP="00EF6F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F6F4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 izmjenama i dopunama Odluke </w:t>
      </w:r>
      <w:r w:rsidRPr="00EF6F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 uređenju prometa </w:t>
      </w:r>
    </w:p>
    <w:p w14:paraId="4B167417" w14:textId="77777777" w:rsidR="00376FD5" w:rsidRPr="00EF6F4F" w:rsidRDefault="00376FD5" w:rsidP="00EF6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7066D4" w14:textId="77777777" w:rsidR="00376FD5" w:rsidRPr="00EF6F4F" w:rsidRDefault="00376FD5" w:rsidP="00EF6F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6F4F">
        <w:rPr>
          <w:rFonts w:ascii="Times New Roman" w:hAnsi="Times New Roman" w:cs="Times New Roman"/>
          <w:sz w:val="24"/>
          <w:szCs w:val="24"/>
        </w:rPr>
        <w:tab/>
      </w:r>
      <w:r w:rsidRPr="00EF6F4F">
        <w:rPr>
          <w:rFonts w:ascii="Times New Roman" w:hAnsi="Times New Roman" w:cs="Times New Roman"/>
          <w:sz w:val="24"/>
          <w:szCs w:val="24"/>
        </w:rPr>
        <w:tab/>
      </w:r>
      <w:r w:rsidRPr="00EF6F4F">
        <w:rPr>
          <w:rFonts w:ascii="Times New Roman" w:hAnsi="Times New Roman" w:cs="Times New Roman"/>
          <w:sz w:val="24"/>
          <w:szCs w:val="24"/>
        </w:rPr>
        <w:tab/>
      </w:r>
      <w:r w:rsidRPr="00EF6F4F">
        <w:rPr>
          <w:rFonts w:ascii="Times New Roman" w:hAnsi="Times New Roman" w:cs="Times New Roman"/>
          <w:sz w:val="24"/>
          <w:szCs w:val="24"/>
        </w:rPr>
        <w:tab/>
      </w:r>
      <w:r w:rsidRPr="00EF6F4F">
        <w:rPr>
          <w:rFonts w:ascii="Times New Roman" w:hAnsi="Times New Roman" w:cs="Times New Roman"/>
          <w:sz w:val="24"/>
          <w:szCs w:val="24"/>
        </w:rPr>
        <w:tab/>
      </w:r>
      <w:r w:rsidRPr="00EF6F4F">
        <w:rPr>
          <w:rFonts w:ascii="Times New Roman" w:hAnsi="Times New Roman" w:cs="Times New Roman"/>
          <w:b/>
          <w:sz w:val="24"/>
          <w:szCs w:val="24"/>
        </w:rPr>
        <w:tab/>
        <w:t xml:space="preserve">Članak 1. </w:t>
      </w:r>
    </w:p>
    <w:p w14:paraId="6E25B000" w14:textId="77777777" w:rsidR="00376FD5" w:rsidRPr="00EF6F4F" w:rsidRDefault="00376FD5" w:rsidP="00EF6F4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F4F">
        <w:rPr>
          <w:rFonts w:ascii="Times New Roman" w:hAnsi="Times New Roman" w:cs="Times New Roman"/>
          <w:sz w:val="24"/>
          <w:szCs w:val="24"/>
        </w:rPr>
        <w:t xml:space="preserve">U Odluci o uređenju prometa (Službeni glasnik Grada Zagreba 21/14, 9/15, 20/18, 15/20 i 15/23 – pročišćeni tekst) u članku 3. stavku 1. točka 5. mijenja se i glasi: </w:t>
      </w:r>
    </w:p>
    <w:p w14:paraId="36DDD9CD" w14:textId="77777777" w:rsidR="00376FD5" w:rsidRPr="00EF6F4F" w:rsidRDefault="00376FD5" w:rsidP="00EF6F4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F4F">
        <w:rPr>
          <w:rFonts w:ascii="Times New Roman" w:hAnsi="Times New Roman" w:cs="Times New Roman"/>
          <w:sz w:val="24"/>
          <w:szCs w:val="24"/>
        </w:rPr>
        <w:t>“5. promet pješaka, vozača bicikla, vozača osobnih prijevoznih sredstava, vozača mopeda, turističkog vlaka i zaprežnih kola, jahača te gonjenje i vođenje stoke,”</w:t>
      </w:r>
    </w:p>
    <w:p w14:paraId="77F9533A" w14:textId="77777777" w:rsidR="00376FD5" w:rsidRPr="00EF6F4F" w:rsidRDefault="00376FD5" w:rsidP="00EF6F4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F4F">
        <w:rPr>
          <w:rFonts w:ascii="Times New Roman" w:hAnsi="Times New Roman" w:cs="Times New Roman"/>
          <w:sz w:val="24"/>
          <w:szCs w:val="24"/>
        </w:rPr>
        <w:t>U točki 10. riječ: “biciklista” zamjenjuje se riječima: “vozača bicikla”.</w:t>
      </w:r>
    </w:p>
    <w:p w14:paraId="32FADC65" w14:textId="77777777" w:rsidR="00376FD5" w:rsidRPr="00EF6F4F" w:rsidRDefault="00376FD5" w:rsidP="00EF6F4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F4F">
        <w:rPr>
          <w:rFonts w:ascii="Times New Roman" w:hAnsi="Times New Roman" w:cs="Times New Roman"/>
          <w:sz w:val="24"/>
          <w:szCs w:val="24"/>
        </w:rPr>
        <w:t>Na kraju točke 13. točka se zamjenjuje zarezom i dodaje se točka 14. koja glasi:</w:t>
      </w:r>
    </w:p>
    <w:p w14:paraId="5CE5E023" w14:textId="77777777" w:rsidR="00376FD5" w:rsidRPr="00EF6F4F" w:rsidRDefault="00376FD5" w:rsidP="00EF6F4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F4F">
        <w:rPr>
          <w:rFonts w:ascii="Times New Roman" w:hAnsi="Times New Roman" w:cs="Times New Roman"/>
          <w:sz w:val="24"/>
          <w:szCs w:val="24"/>
        </w:rPr>
        <w:t>“14. uvjete ulaza, prometovanja i izlaza vozila iz zone prometa u zaštićenoj kulturno-povijesnoj cjelini i kontaktnoj zoni.”</w:t>
      </w:r>
    </w:p>
    <w:p w14:paraId="79D4898F" w14:textId="77777777" w:rsidR="00376FD5" w:rsidRPr="00EF6F4F" w:rsidRDefault="00376FD5" w:rsidP="00EF6F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AE33E6" w14:textId="77777777" w:rsidR="00376FD5" w:rsidRPr="00EF6F4F" w:rsidRDefault="00376FD5" w:rsidP="00EF6F4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F4F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5B09EF9F" w14:textId="77777777" w:rsidR="00376FD5" w:rsidRPr="00EF6F4F" w:rsidRDefault="00376FD5" w:rsidP="00EF6F4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F4F">
        <w:rPr>
          <w:rFonts w:ascii="Times New Roman" w:hAnsi="Times New Roman" w:cs="Times New Roman"/>
          <w:sz w:val="24"/>
          <w:szCs w:val="24"/>
        </w:rPr>
        <w:t xml:space="preserve">Članak 11. mijenja se i glasi: </w:t>
      </w:r>
    </w:p>
    <w:p w14:paraId="273A8446" w14:textId="77777777" w:rsidR="00376FD5" w:rsidRPr="00EF6F4F" w:rsidRDefault="00376FD5" w:rsidP="00EF6F4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F4F">
        <w:rPr>
          <w:rFonts w:ascii="Times New Roman" w:hAnsi="Times New Roman" w:cs="Times New Roman"/>
          <w:sz w:val="24"/>
          <w:szCs w:val="24"/>
        </w:rPr>
        <w:t>“Promet biciklima odvija se sukladno propisima kojima se uređuje sigurnost prometa na cestama i biciklistička infrastruktura. “</w:t>
      </w:r>
    </w:p>
    <w:p w14:paraId="0AF13F49" w14:textId="77777777" w:rsidR="00376FD5" w:rsidRPr="00EF6F4F" w:rsidRDefault="00376FD5" w:rsidP="00EF6F4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F4F">
        <w:rPr>
          <w:rFonts w:ascii="Times New Roman" w:hAnsi="Times New Roman" w:cs="Times New Roman"/>
          <w:sz w:val="24"/>
          <w:szCs w:val="24"/>
        </w:rPr>
        <w:tab/>
      </w:r>
      <w:r w:rsidRPr="00EF6F4F">
        <w:rPr>
          <w:rFonts w:ascii="Times New Roman" w:hAnsi="Times New Roman" w:cs="Times New Roman"/>
          <w:sz w:val="24"/>
          <w:szCs w:val="24"/>
        </w:rPr>
        <w:tab/>
      </w:r>
    </w:p>
    <w:p w14:paraId="64157C6E" w14:textId="77777777" w:rsidR="00376FD5" w:rsidRPr="00EF6F4F" w:rsidRDefault="00376FD5" w:rsidP="00EF6F4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F4F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2753688C" w14:textId="77777777" w:rsidR="00376FD5" w:rsidRPr="00EF6F4F" w:rsidRDefault="00376FD5" w:rsidP="00EF6F4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F4F">
        <w:rPr>
          <w:rFonts w:ascii="Times New Roman" w:hAnsi="Times New Roman" w:cs="Times New Roman"/>
          <w:sz w:val="24"/>
          <w:szCs w:val="24"/>
        </w:rPr>
        <w:t>Članak 12. mijenja se i glasi:</w:t>
      </w:r>
    </w:p>
    <w:p w14:paraId="45DE7B81" w14:textId="77777777" w:rsidR="00376FD5" w:rsidRPr="00EF6F4F" w:rsidRDefault="00376FD5" w:rsidP="00EF6F4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F4F">
        <w:rPr>
          <w:rFonts w:ascii="Times New Roman" w:hAnsi="Times New Roman" w:cs="Times New Roman"/>
          <w:sz w:val="24"/>
          <w:szCs w:val="24"/>
        </w:rPr>
        <w:t>“Rubnjaci pješačkih prijelaza na raskrižjima moraju biti spušteni na visinu 2-3 cm i  širini od najmanje 1,2 m s maksimalnim nagibom do 10% da bi se omogućilo lakše kretanje osoba s invaliditetom, vožnja dječjih kolica, vozača bicikla i slično.</w:t>
      </w:r>
    </w:p>
    <w:p w14:paraId="0334E9FF" w14:textId="77777777" w:rsidR="00376FD5" w:rsidRPr="00EF6F4F" w:rsidRDefault="00376FD5" w:rsidP="00EF6F4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F4F">
        <w:rPr>
          <w:rFonts w:ascii="Times New Roman" w:hAnsi="Times New Roman" w:cs="Times New Roman"/>
          <w:sz w:val="24"/>
          <w:szCs w:val="24"/>
        </w:rPr>
        <w:t>Rubnjaci prijelaza biciklističkih staza na raskrižjima moraju biti spušteni na razinu nivelete kolnika i u duljini od najmanje 1,25 m za jedan red vozača bicikla da bi se omogućilo njihovo lakše kretanje.</w:t>
      </w:r>
    </w:p>
    <w:p w14:paraId="20017EDB" w14:textId="77777777" w:rsidR="00EF6F4F" w:rsidRDefault="00376FD5" w:rsidP="00845D6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F4F">
        <w:rPr>
          <w:rFonts w:ascii="Times New Roman" w:hAnsi="Times New Roman" w:cs="Times New Roman"/>
          <w:sz w:val="24"/>
          <w:szCs w:val="24"/>
        </w:rPr>
        <w:lastRenderedPageBreak/>
        <w:t>Prilikom izgradnje ili rekonstrukcije cesta, prilaz biciklističke staze pješačko-biciklističkom prijelazu u pravilu treba projektirati i izvoditi odvojenog od pješačkog dijela staze ugradbom rubnjaka u visini 2-3 cm i u duljini od najmanje 1 m.”</w:t>
      </w:r>
    </w:p>
    <w:p w14:paraId="746C5945" w14:textId="77777777" w:rsidR="00845D6F" w:rsidRDefault="00845D6F" w:rsidP="00845D6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A9A85E" w14:textId="77777777" w:rsidR="00376FD5" w:rsidRPr="00EF6F4F" w:rsidRDefault="00376FD5" w:rsidP="00EF6F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F4F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36AD2B8A" w14:textId="77777777" w:rsidR="00376FD5" w:rsidRPr="00EF6F4F" w:rsidRDefault="00376FD5" w:rsidP="00EF6F4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F4F">
        <w:rPr>
          <w:rFonts w:ascii="Times New Roman" w:hAnsi="Times New Roman" w:cs="Times New Roman"/>
          <w:sz w:val="24"/>
          <w:szCs w:val="24"/>
        </w:rPr>
        <w:t>Članak 20. mijenja se i glasi:</w:t>
      </w:r>
    </w:p>
    <w:p w14:paraId="2C6C1DAF" w14:textId="77777777" w:rsidR="00376FD5" w:rsidRPr="00EF6F4F" w:rsidRDefault="00376FD5" w:rsidP="00EF6F4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EF6F4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„U pješačkim zonama zabranjen je promet motornih vozila, osim vozila s posebnom dozvolom za prometovanje motornih vozila uz plaćanje naknade.</w:t>
      </w:r>
    </w:p>
    <w:p w14:paraId="4ABB802A" w14:textId="77777777" w:rsidR="00376FD5" w:rsidRPr="00EF6F4F" w:rsidRDefault="00376FD5" w:rsidP="00EF6F4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EF6F4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Iznimno, fizičke osobe koje imaju prijavljeno prebivalište i osigurano parkirališno mjesto u dvorištu ili garaži, u pješačkoj zoni ne plaćaju naknadu iz stavka 1. ovoga članka.</w:t>
      </w:r>
    </w:p>
    <w:p w14:paraId="1630B0F0" w14:textId="77777777" w:rsidR="00376FD5" w:rsidRPr="00EF6F4F" w:rsidRDefault="00376FD5" w:rsidP="00EF6F4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EF6F4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Visinu i način plaćanja naknade iz stavka 1. ovoga članka određuje gradonačelnik.</w:t>
      </w:r>
    </w:p>
    <w:p w14:paraId="6500AD52" w14:textId="77777777" w:rsidR="00376FD5" w:rsidRPr="00EF6F4F" w:rsidRDefault="00376FD5" w:rsidP="00EF6F4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EF6F4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Osim u pješačkoj zoni, </w:t>
      </w:r>
      <w:r w:rsidR="00983EB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područja</w:t>
      </w:r>
      <w:r w:rsidRPr="00EF6F4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ograničenog prometa mogu se urediti i u drugim gradskim dijelovima i površinama. </w:t>
      </w:r>
    </w:p>
    <w:p w14:paraId="6605FD3A" w14:textId="77777777" w:rsidR="00376FD5" w:rsidRPr="00EF6F4F" w:rsidRDefault="00376FD5" w:rsidP="00EF6F4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EF6F4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 w:rsidR="00983EB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područjima </w:t>
      </w:r>
      <w:r w:rsidRPr="00EF6F4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ograničenog prometa dopušten je promet vozilima s posebnom dozvolom za prometovanje motornih vozila uz plaćanje naknade.</w:t>
      </w:r>
    </w:p>
    <w:p w14:paraId="0ED07D21" w14:textId="77777777" w:rsidR="00376FD5" w:rsidRPr="00EF6F4F" w:rsidRDefault="00376FD5" w:rsidP="00EF6F4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EF6F4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 području središnjeg dijela Grada Zagreba i područjima ograničenog prometa motorna vozila mogu prometovati sukladno posebnim uvjetima.</w:t>
      </w:r>
    </w:p>
    <w:p w14:paraId="6F5D1368" w14:textId="77777777" w:rsidR="00376FD5" w:rsidRPr="00EF6F4F" w:rsidRDefault="00376FD5" w:rsidP="00EF6F4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EF6F4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Gradonačelnik, uz prethodnu suglasnost nadležne policijske uprave, naredbom određuje pješačke zone, područje središnjeg dijela Grada Zagreba, </w:t>
      </w:r>
      <w:r w:rsidR="00983EB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područja</w:t>
      </w:r>
      <w:r w:rsidRPr="00EF6F4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ograničenog prometa (sportsko-rekreacijske zone i dr.), uvjete prometovanja vozila te uvjete za izdavanje, visinu naknade i rok važenja dozvole za prometovanje vozila te uvjete ulaza, prometovanja i izlaza vozila iz zone prometa u zaštićenoj kulturno-povijesnoj cjelini i kontaktnoj zoni.</w:t>
      </w:r>
    </w:p>
    <w:p w14:paraId="60BE745D" w14:textId="77777777" w:rsidR="00376FD5" w:rsidRPr="00EF6F4F" w:rsidRDefault="00376FD5" w:rsidP="00EF6F4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EF6F4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Prometovanje vozila u pješačkim zonama, području središnjeg dijela Grada Zagreba i </w:t>
      </w:r>
      <w:r w:rsidR="00983EB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područjima</w:t>
      </w:r>
      <w:r w:rsidRPr="00EF6F4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ograničenog prometa mora biti u skladu s naredbom iz stavka 7. ovoga članka.“</w:t>
      </w:r>
    </w:p>
    <w:p w14:paraId="05831018" w14:textId="77777777" w:rsidR="00376FD5" w:rsidRPr="00EF6F4F" w:rsidRDefault="00376FD5" w:rsidP="00EF6F4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D294F" w14:textId="77777777" w:rsidR="00376FD5" w:rsidRPr="00EF6F4F" w:rsidRDefault="00376FD5" w:rsidP="00EF6F4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F4F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63F68534" w14:textId="77777777" w:rsidR="00376FD5" w:rsidRPr="00EF6F4F" w:rsidRDefault="00376FD5" w:rsidP="00EF6F4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EF6F4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 članku 21. iza riječi: „zonama“ dodaju se riječi: „i </w:t>
      </w:r>
      <w:r w:rsidR="00983EB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područjima</w:t>
      </w:r>
      <w:r w:rsidRPr="00EF6F4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ograničenog prometa“, a broj: „5“ zamjenjuje se brojem: „7“.</w:t>
      </w:r>
    </w:p>
    <w:p w14:paraId="0360FD00" w14:textId="77777777" w:rsidR="00376FD5" w:rsidRPr="00EF6F4F" w:rsidRDefault="00376FD5" w:rsidP="00EF6F4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F4F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3AD6AC10" w14:textId="77777777" w:rsidR="00376FD5" w:rsidRPr="00EF6F4F" w:rsidRDefault="00376FD5" w:rsidP="00EF6F4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F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F6F4F">
        <w:rPr>
          <w:rFonts w:ascii="Times New Roman" w:hAnsi="Times New Roman" w:cs="Times New Roman"/>
          <w:color w:val="000000"/>
          <w:sz w:val="24"/>
          <w:szCs w:val="24"/>
        </w:rPr>
        <w:tab/>
        <w:t>Ova odluka stupa na snagu osmoga dana od dana objave u Službenom glasniku Grada Zagreba.</w:t>
      </w:r>
    </w:p>
    <w:p w14:paraId="5893AB17" w14:textId="77777777" w:rsidR="00376FD5" w:rsidRPr="00EF6F4F" w:rsidRDefault="00376FD5" w:rsidP="00EF6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1783EC" w14:textId="77777777" w:rsidR="00376FD5" w:rsidRPr="00EF6F4F" w:rsidRDefault="00376FD5" w:rsidP="00EF6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F4F">
        <w:rPr>
          <w:rFonts w:ascii="Times New Roman" w:eastAsia="Times New Roman" w:hAnsi="Times New Roman" w:cs="Times New Roman"/>
          <w:sz w:val="24"/>
          <w:szCs w:val="24"/>
        </w:rPr>
        <w:t>KLASA:</w:t>
      </w:r>
    </w:p>
    <w:p w14:paraId="052CC42A" w14:textId="77777777" w:rsidR="00376FD5" w:rsidRPr="00EF6F4F" w:rsidRDefault="00376FD5" w:rsidP="00EF6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F4F">
        <w:rPr>
          <w:rFonts w:ascii="Times New Roman" w:eastAsia="Times New Roman" w:hAnsi="Times New Roman" w:cs="Times New Roman"/>
          <w:sz w:val="24"/>
          <w:szCs w:val="24"/>
        </w:rPr>
        <w:t>URBROJ:</w:t>
      </w:r>
    </w:p>
    <w:p w14:paraId="216E210D" w14:textId="77777777" w:rsidR="00EF6F4F" w:rsidRDefault="00376FD5" w:rsidP="00EF6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F4F">
        <w:rPr>
          <w:rFonts w:ascii="Times New Roman" w:eastAsia="Times New Roman" w:hAnsi="Times New Roman" w:cs="Times New Roman"/>
          <w:sz w:val="24"/>
          <w:szCs w:val="24"/>
        </w:rPr>
        <w:t>Zagreb,                2024.</w:t>
      </w:r>
      <w:r w:rsidRPr="00EF6F4F">
        <w:rPr>
          <w:rFonts w:ascii="Times New Roman" w:eastAsia="Times New Roman" w:hAnsi="Times New Roman" w:cs="Times New Roman"/>
          <w:sz w:val="24"/>
          <w:szCs w:val="24"/>
        </w:rPr>
        <w:tab/>
      </w:r>
      <w:r w:rsidRPr="00EF6F4F">
        <w:rPr>
          <w:rFonts w:ascii="Times New Roman" w:eastAsia="Times New Roman" w:hAnsi="Times New Roman" w:cs="Times New Roman"/>
          <w:sz w:val="24"/>
          <w:szCs w:val="24"/>
        </w:rPr>
        <w:tab/>
      </w:r>
      <w:r w:rsidRPr="00EF6F4F">
        <w:rPr>
          <w:rFonts w:ascii="Times New Roman" w:eastAsia="Times New Roman" w:hAnsi="Times New Roman" w:cs="Times New Roman"/>
          <w:sz w:val="24"/>
          <w:szCs w:val="24"/>
        </w:rPr>
        <w:tab/>
      </w:r>
      <w:r w:rsidRPr="00EF6F4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</w:p>
    <w:p w14:paraId="18F6C67E" w14:textId="77777777" w:rsidR="00EF6F4F" w:rsidRDefault="00EF6F4F" w:rsidP="00EF6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299049" w14:textId="77777777" w:rsidR="00EF6F4F" w:rsidRDefault="00EF6F4F" w:rsidP="00EF6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91296C" w14:textId="77777777" w:rsidR="00376FD5" w:rsidRPr="00EF6F4F" w:rsidRDefault="00EF6F4F" w:rsidP="00EF6F4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76FD5" w:rsidRPr="00EF6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FD5" w:rsidRPr="00EF6F4F">
        <w:rPr>
          <w:rFonts w:ascii="Times New Roman" w:eastAsia="Times New Roman" w:hAnsi="Times New Roman" w:cs="Times New Roman"/>
          <w:b/>
          <w:sz w:val="24"/>
          <w:szCs w:val="24"/>
        </w:rPr>
        <w:t>Predsjednik</w:t>
      </w:r>
    </w:p>
    <w:p w14:paraId="7AEED319" w14:textId="77777777" w:rsidR="00376FD5" w:rsidRPr="00EF6F4F" w:rsidRDefault="00376FD5" w:rsidP="00EF6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F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6F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6F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6F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6F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6F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6F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6F4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="00EF6F4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EF6F4F">
        <w:rPr>
          <w:rFonts w:ascii="Times New Roman" w:eastAsia="Times New Roman" w:hAnsi="Times New Roman" w:cs="Times New Roman"/>
          <w:b/>
          <w:sz w:val="24"/>
          <w:szCs w:val="24"/>
        </w:rPr>
        <w:t xml:space="preserve"> Gradske skupštine</w:t>
      </w:r>
    </w:p>
    <w:p w14:paraId="37254F22" w14:textId="77777777" w:rsidR="00376FD5" w:rsidRPr="00EF6F4F" w:rsidRDefault="00376FD5" w:rsidP="00EF6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F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6F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6F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6F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6F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6F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6F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6F4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  <w:r w:rsidR="00EF6F4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F6F4F">
        <w:rPr>
          <w:rFonts w:ascii="Times New Roman" w:eastAsia="Times New Roman" w:hAnsi="Times New Roman" w:cs="Times New Roman"/>
          <w:b/>
          <w:sz w:val="24"/>
          <w:szCs w:val="24"/>
        </w:rPr>
        <w:t>Joško Klisović</w:t>
      </w:r>
    </w:p>
    <w:p w14:paraId="2D59984E" w14:textId="77777777" w:rsidR="00376FD5" w:rsidRPr="00EF6F4F" w:rsidRDefault="00376FD5" w:rsidP="00EF6F4F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EF6F4F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EF6F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845D6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EF6F4F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6134B0B7" w14:textId="77777777" w:rsidR="00376FD5" w:rsidRPr="00EF6F4F" w:rsidRDefault="00376FD5" w:rsidP="00EF6F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F4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76A3A" w:rsidRPr="00EF6F4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F6F4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F6F4F">
        <w:rPr>
          <w:rFonts w:ascii="Times New Roman" w:hAnsi="Times New Roman" w:cs="Times New Roman"/>
          <w:b/>
          <w:sz w:val="24"/>
          <w:szCs w:val="24"/>
        </w:rPr>
        <w:t xml:space="preserve"> Prijedloga Odluke o izmjenama i dopunama Odluke o uređenju prometa </w:t>
      </w:r>
    </w:p>
    <w:p w14:paraId="3D6C4827" w14:textId="77777777" w:rsidR="00376FD5" w:rsidRPr="00EF6F4F" w:rsidRDefault="00376FD5" w:rsidP="00EF6F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18DAAE" w14:textId="77777777" w:rsidR="00376FD5" w:rsidRPr="00EF6F4F" w:rsidRDefault="00376FD5" w:rsidP="00EF6F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F4F">
        <w:rPr>
          <w:rFonts w:ascii="Times New Roman" w:hAnsi="Times New Roman" w:cs="Times New Roman"/>
          <w:b/>
          <w:sz w:val="24"/>
          <w:szCs w:val="24"/>
        </w:rPr>
        <w:t xml:space="preserve">I. PRAVNI TEMELJ </w:t>
      </w:r>
      <w:r w:rsidR="00EF6F4F">
        <w:rPr>
          <w:rFonts w:ascii="Times New Roman" w:hAnsi="Times New Roman" w:cs="Times New Roman"/>
          <w:b/>
          <w:sz w:val="24"/>
          <w:szCs w:val="24"/>
        </w:rPr>
        <w:t>ZA DONOŠENJE ODLUKE</w:t>
      </w:r>
    </w:p>
    <w:p w14:paraId="1A8A2F3D" w14:textId="77777777" w:rsidR="00376FD5" w:rsidRPr="00EF6F4F" w:rsidRDefault="00376FD5" w:rsidP="00EF6F4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4F">
        <w:rPr>
          <w:rFonts w:ascii="Times New Roman" w:hAnsi="Times New Roman" w:cs="Times New Roman"/>
          <w:sz w:val="24"/>
          <w:szCs w:val="24"/>
        </w:rPr>
        <w:t>Pravni temelj za donošenje Odluke o izmjenama i dopunama Odluke o uređenju prometa je članak 5. stavak 1. Zakona o sigurnosti prometa na cestama (Narodne novine 67/08, 48/10 - Odluka Ustavnog suda Republike Hrvatske, 74/11, 80/13, 158/13- Odluka i Rješenje Ustavnog suda Republike Hrvatske, 92/14, 64/15, 108/17, 70/19, 42/20,85/22, 114/22 i 133/23-udaljnjem tekstu: Zakon) te članak 41. točka 2. Statuta Grada Zagreba (Službeni glasnik Grada Zagreba 23/16, 2/18, 23/18, 3/20, 11/21-proćišćeni tekst i 16/22) kojim je propisano da Gradska skupština Grada Zagreba donosi odluke i druge opće akte kojima uređuje pitanja iz samoupravnog djelokruga Grada Zagreba. Odredba članka 5. stavka 1. Zakona propisuje da jedinice lokalne i područne (regionalne) samouprave, u skladu s odredbama predmetnog Zakona, uz prethodnu suglasnost ministarstva nadležnog za unutarnje poslove, uređuju promet na svom području tako da određuju ceste s prednošću prolaska, dvosmjerni, odnosno jednosmjerni promet, sustav tehničkog uređenja prometa i upravljanje prometom putem elektroničkih sustava i video nadzora, ograničenja brzine kretanja vozila, promet pješaka, vozača bicikla, vozača osobnih prijevoznih sredstva, vozača mopeda, turističkog vlaka i zaprežnih kola, jahaća, te gonjenje i vođenje stoke, parkirališne površine i način parkiranja, zabrane parkiranja i mjesta ograničenog parkiranja, zone smirenog prometa, blokiranje autobusa, teretnih automobila, priključnih vozila i radnih strojeva na mjestima koja nisu namijenjena za parkiranje tih vrsta vozila i način deblokade tih vozila, postavljanje i održavanje zaštitnih ograda za pješake na opasnim mjestima, pješačke zone, sigurne pravce za kretanje školske djece, posebne tehničke mjere za sigurnost pješaka i vozača bicikla u blizini obrazovnih, zdravstvenih i drugih ustanova, igrališta, kino dvorana i sl., uklanjanje dotrajalih, oštećenih i napuštenih vozila, površinu na kojoj će se obavljati: test vožnja, terenska vožnja (</w:t>
      </w:r>
      <w:proofErr w:type="spellStart"/>
      <w:r w:rsidRPr="00EF6F4F">
        <w:rPr>
          <w:rFonts w:ascii="Times New Roman" w:hAnsi="Times New Roman" w:cs="Times New Roman"/>
          <w:sz w:val="24"/>
          <w:szCs w:val="24"/>
        </w:rPr>
        <w:t>cross</w:t>
      </w:r>
      <w:proofErr w:type="spellEnd"/>
      <w:r w:rsidRPr="00EF6F4F">
        <w:rPr>
          <w:rFonts w:ascii="Times New Roman" w:hAnsi="Times New Roman" w:cs="Times New Roman"/>
          <w:sz w:val="24"/>
          <w:szCs w:val="24"/>
        </w:rPr>
        <w:t>), vožnja izvan kolnika (</w:t>
      </w:r>
      <w:proofErr w:type="spellStart"/>
      <w:r w:rsidRPr="00EF6F4F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EF6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F4F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Pr="00EF6F4F">
        <w:rPr>
          <w:rFonts w:ascii="Times New Roman" w:hAnsi="Times New Roman" w:cs="Times New Roman"/>
          <w:sz w:val="24"/>
          <w:szCs w:val="24"/>
        </w:rPr>
        <w:t xml:space="preserve">), sportske, </w:t>
      </w:r>
      <w:proofErr w:type="spellStart"/>
      <w:r w:rsidRPr="00EF6F4F">
        <w:rPr>
          <w:rFonts w:ascii="Times New Roman" w:hAnsi="Times New Roman" w:cs="Times New Roman"/>
          <w:sz w:val="24"/>
          <w:szCs w:val="24"/>
        </w:rPr>
        <w:t>enduro</w:t>
      </w:r>
      <w:proofErr w:type="spellEnd"/>
      <w:r w:rsidRPr="00EF6F4F">
        <w:rPr>
          <w:rFonts w:ascii="Times New Roman" w:hAnsi="Times New Roman" w:cs="Times New Roman"/>
          <w:sz w:val="24"/>
          <w:szCs w:val="24"/>
        </w:rPr>
        <w:t xml:space="preserve"> i promidžbene vožnje, uvjete prometovanja vozila opskrbe u zonama smirenog prometa i pješačkim zonama, te uvjete ulaza, prometovanja i izlaza vozila iz zone prometa u zaštićenoj kulturno-povijesnoj cjelini i kontaktnoj zoni. Člankom 5. stavkom 2. Zakona, propisano je da kada se uređuju uvjeti za ulaz, prometovanje i izlaz vozila u zaštićenoj kulturno-povijesnoj cjelini i kontaktnoj zoni potrebna je suglasnost ministarstva nadležnog za  poslove kulture.</w:t>
      </w:r>
    </w:p>
    <w:p w14:paraId="4242EB89" w14:textId="77777777" w:rsidR="00376FD5" w:rsidRPr="00EF6F4F" w:rsidRDefault="00376FD5" w:rsidP="00EF6F4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2BF56" w14:textId="77777777" w:rsidR="00376FD5" w:rsidRPr="00EF6F4F" w:rsidRDefault="00376FD5" w:rsidP="00EF6F4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F4F">
        <w:rPr>
          <w:rFonts w:ascii="Times New Roman" w:hAnsi="Times New Roman" w:cs="Times New Roman"/>
          <w:b/>
          <w:sz w:val="24"/>
          <w:szCs w:val="24"/>
        </w:rPr>
        <w:t xml:space="preserve">II. OCJENA STANJA, OSNOVNA PITANJA KOJA TREBA UREDITI I SVRHA KOJA SE ŽELI POSTIĆI UREĐIVANJEM ODNOSA NA PREDLOŽENI NAČIN </w:t>
      </w:r>
    </w:p>
    <w:p w14:paraId="2D83148B" w14:textId="77777777" w:rsidR="00376FD5" w:rsidRPr="00EF6F4F" w:rsidRDefault="00376FD5" w:rsidP="00EF6F4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4F">
        <w:rPr>
          <w:rFonts w:ascii="Times New Roman" w:hAnsi="Times New Roman" w:cs="Times New Roman"/>
          <w:sz w:val="24"/>
          <w:szCs w:val="24"/>
        </w:rPr>
        <w:t>Predloženim predmetnim izmjenama i dopunama Odluka o uređenju prometa (Službeni glasnik Grada Zagreba 21/14, 9/15, 20/18, 15/20 i 15/23-pročišćeni tekst-u daljnjem tekstu: Odluka), ista se usklađuje s odredbama Zakona i propisima koji se odnose na prometovanje bicikla.</w:t>
      </w:r>
    </w:p>
    <w:p w14:paraId="18B7EB38" w14:textId="77777777" w:rsidR="00376FD5" w:rsidRPr="00EF6F4F" w:rsidRDefault="00376FD5" w:rsidP="00EF6F4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4F">
        <w:rPr>
          <w:rFonts w:ascii="Times New Roman" w:hAnsi="Times New Roman" w:cs="Times New Roman"/>
          <w:sz w:val="24"/>
          <w:szCs w:val="24"/>
        </w:rPr>
        <w:t xml:space="preserve">Odluka, člankom 3. stavkom 1., točkama od 1 - 13. propisuje što se podrazumijeva pod uređenjem prometa, sukladno članku 5. Zakona. Budući da su se odredbe članka 5. Zakona izmijenile, s istima se sada izričajno usklađuju odredbe članka. 3. stavka 1. točke 5. Odluke, na način da će točka 5. glasiti: „5. promet pješaka, vozača bicikla, vozača osobnih prijevoznih sredstava, vozača mopeda, turističkog vlaka i zaprežnih kola, jahača te gonjenje i vođenje stoke,“ te točke 10. na način da se riječ: „biciklista“ zamjenjuje riječima: „vozača bicikla“. Dodaje se točaka 14. koja je propisana člankom 5. stavkom 1. točka 14. Zakona, a koja glasi: „14. uvjete ulaza, prometovanja i izlaza vozila iz zone prometa u zaštićenoj kulturno-povijesnoj cjelini i kontaktnoj zoni.“. </w:t>
      </w:r>
    </w:p>
    <w:p w14:paraId="62C78B33" w14:textId="77777777" w:rsidR="00376FD5" w:rsidRPr="00EF6F4F" w:rsidRDefault="00376FD5" w:rsidP="00EF6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4F">
        <w:rPr>
          <w:rFonts w:ascii="Times New Roman" w:hAnsi="Times New Roman" w:cs="Times New Roman"/>
          <w:sz w:val="24"/>
          <w:szCs w:val="24"/>
        </w:rPr>
        <w:t>U odnosu na odredbe kojima se uređuje promet biciklima, iste se usklađuju sa Zakonom i Pravilnikom o biciklističkoj infrastrukturi (Narodne novine, 28/16).</w:t>
      </w:r>
    </w:p>
    <w:p w14:paraId="1C3404C9" w14:textId="77777777" w:rsidR="00376FD5" w:rsidRPr="00EF6F4F" w:rsidRDefault="00376FD5" w:rsidP="00EF6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4F">
        <w:rPr>
          <w:rFonts w:ascii="Times New Roman" w:hAnsi="Times New Roman" w:cs="Times New Roman"/>
          <w:sz w:val="24"/>
          <w:szCs w:val="24"/>
        </w:rPr>
        <w:lastRenderedPageBreak/>
        <w:t xml:space="preserve">Nadalje, izmjene i dopuna visine rubnjaka na pješačkim i biciklističkim prijelazima bilo je potrebno propisati distinkciju između pješačkog dijela prijelaza i prijelaza vozača bicikla preko ceste. Pravilnikom o osiguranju pristupačnosti građevina osobama s invaliditetom i smanjene pokretljivosti  (Narodne novine 78/13) se pješački prijelaz od kolnika mora odvojiti rubnjakom minimalno 3cm ili taktilnim površinama </w:t>
      </w:r>
      <w:proofErr w:type="spellStart"/>
      <w:r w:rsidRPr="00EF6F4F">
        <w:rPr>
          <w:rFonts w:ascii="Times New Roman" w:hAnsi="Times New Roman" w:cs="Times New Roman"/>
          <w:sz w:val="24"/>
          <w:szCs w:val="24"/>
        </w:rPr>
        <w:t>čepaste</w:t>
      </w:r>
      <w:proofErr w:type="spellEnd"/>
      <w:r w:rsidRPr="00EF6F4F">
        <w:rPr>
          <w:rFonts w:ascii="Times New Roman" w:hAnsi="Times New Roman" w:cs="Times New Roman"/>
          <w:sz w:val="24"/>
          <w:szCs w:val="24"/>
        </w:rPr>
        <w:t xml:space="preserve"> strukture radi sigurnijeg kretanja slijepih i slabovidnih osoba. Prijelaz biciklističke staze preko kolnika prema Pravilniku o biciklističkoj infrastrukturi ne smije biti odvojen rubnjakom višim od maksimalno 3 cm. Gradonačelnik Grada Zagreba je osnovao radnu skupinu pod nazivom Zagreb  </w:t>
      </w:r>
      <w:proofErr w:type="spellStart"/>
      <w:r w:rsidRPr="00EF6F4F">
        <w:rPr>
          <w:rFonts w:ascii="Times New Roman" w:hAnsi="Times New Roman" w:cs="Times New Roman"/>
          <w:sz w:val="24"/>
          <w:szCs w:val="24"/>
        </w:rPr>
        <w:t>Cycle</w:t>
      </w:r>
      <w:proofErr w:type="spellEnd"/>
      <w:r w:rsidRPr="00EF6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F4F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EF6F4F">
        <w:rPr>
          <w:rFonts w:ascii="Times New Roman" w:hAnsi="Times New Roman" w:cs="Times New Roman"/>
          <w:sz w:val="24"/>
          <w:szCs w:val="24"/>
        </w:rPr>
        <w:t xml:space="preserve"> (ZGCU) radi unaprjeđenja i razvoja biciklizma i biciklističke infrastrukture, a jedan od zaključaka je da se radi lakšeg kretanja vozača bicikla prijelazi preko kolnika izvode bez poprečnog rubnjaka, odnosno spuštanjem prijelaza biciklističke staze na niveletu kolnika. Isto tako predlaže se, a u svezi prometovanja bicikla, propiše da se prilikom izgradnje ili rekonstrukcije cesta, prilaz biciklističke staze pješačko-biciklističkom prijelazu u pravilu treba projektirati i izvoditi odvojenog od pješačkog dijela staze ugradbom rubnjaka u visini 2-3 cm i u duljini od najmanje 1 m.</w:t>
      </w:r>
    </w:p>
    <w:p w14:paraId="12A86405" w14:textId="77777777" w:rsidR="00376FD5" w:rsidRPr="00EF6F4F" w:rsidRDefault="00376FD5" w:rsidP="00EF6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F6F4F">
        <w:rPr>
          <w:rFonts w:ascii="Times New Roman" w:hAnsi="Times New Roman" w:cs="Times New Roman"/>
          <w:sz w:val="24"/>
          <w:szCs w:val="24"/>
        </w:rPr>
        <w:t xml:space="preserve">Nadalje, propisuje se da je </w:t>
      </w:r>
      <w:r w:rsidRPr="00EF6F4F">
        <w:rPr>
          <w:rFonts w:ascii="Times New Roman" w:hAnsi="Times New Roman" w:cs="Times New Roman"/>
          <w:sz w:val="24"/>
          <w:szCs w:val="24"/>
          <w:lang w:eastAsia="hr-HR"/>
        </w:rPr>
        <w:t xml:space="preserve">u pješačkim zonama zabranjen promet motornih vozila, osim vozila s posebnom dozvolom za prometovanje motornih vozila uz plaćanje naknade, uz iznimku da, fizičke osobe koje imaju prijavljeno prebivalište i osigurano parkirališno mjesto u dvorištu ili garaži, u pješačkoj zoni ne plaćaju naknadu iz stavka 1. ovoga članka. Visinu i način plaćanja naknade određuje gradonačelnik. </w:t>
      </w:r>
      <w:r w:rsidRPr="00EF6F4F">
        <w:rPr>
          <w:rFonts w:ascii="Times New Roman" w:hAnsi="Times New Roman" w:cs="Times New Roman"/>
          <w:sz w:val="24"/>
          <w:szCs w:val="24"/>
        </w:rPr>
        <w:t xml:space="preserve">Osim u pješačkoj zoni, </w:t>
      </w:r>
      <w:r w:rsidR="00983EB7">
        <w:rPr>
          <w:rFonts w:ascii="Times New Roman" w:hAnsi="Times New Roman" w:cs="Times New Roman"/>
          <w:sz w:val="24"/>
          <w:szCs w:val="24"/>
        </w:rPr>
        <w:t>područja</w:t>
      </w:r>
      <w:r w:rsidRPr="00EF6F4F">
        <w:rPr>
          <w:rFonts w:ascii="Times New Roman" w:hAnsi="Times New Roman" w:cs="Times New Roman"/>
          <w:sz w:val="24"/>
          <w:szCs w:val="24"/>
        </w:rPr>
        <w:t xml:space="preserve"> ograničenog prometa mogu se urediti i u drugim gradskim dijelovima i površinama. U </w:t>
      </w:r>
      <w:r w:rsidR="00983EB7">
        <w:rPr>
          <w:rFonts w:ascii="Times New Roman" w:hAnsi="Times New Roman" w:cs="Times New Roman"/>
          <w:sz w:val="24"/>
          <w:szCs w:val="24"/>
        </w:rPr>
        <w:t>područjima</w:t>
      </w:r>
      <w:r w:rsidRPr="00EF6F4F">
        <w:rPr>
          <w:rFonts w:ascii="Times New Roman" w:hAnsi="Times New Roman" w:cs="Times New Roman"/>
          <w:sz w:val="24"/>
          <w:szCs w:val="24"/>
        </w:rPr>
        <w:t xml:space="preserve"> ograničenog prometa dopušten je promet vozilima s posebnom dozvolom za prometovanje motornih vozila uz plaćanje naknade. Pravo da u pod</w:t>
      </w:r>
      <w:r w:rsidRPr="00EF6F4F">
        <w:rPr>
          <w:rFonts w:ascii="Times New Roman" w:hAnsi="Times New Roman" w:cs="Times New Roman"/>
          <w:sz w:val="24"/>
          <w:szCs w:val="24"/>
          <w:lang w:eastAsia="hr-HR"/>
        </w:rPr>
        <w:t xml:space="preserve">ručju središnjeg dijela Grada Zagreba i područjima ograničenog prometa vozila opskrbe i druga vozila mogu prometovati sukladno posebnim uvjetima. Gradonačelnik, uz prethodnu suglasnost nadležne policijske uprave, naredbom određuje pješačke zone, područje središnjeg dijela Grada Zagreba, </w:t>
      </w:r>
      <w:r w:rsidR="00983EB7">
        <w:rPr>
          <w:rFonts w:ascii="Times New Roman" w:hAnsi="Times New Roman" w:cs="Times New Roman"/>
          <w:sz w:val="24"/>
          <w:szCs w:val="24"/>
          <w:lang w:eastAsia="hr-HR"/>
        </w:rPr>
        <w:t>područja</w:t>
      </w:r>
      <w:r w:rsidRPr="00EF6F4F">
        <w:rPr>
          <w:rFonts w:ascii="Times New Roman" w:hAnsi="Times New Roman" w:cs="Times New Roman"/>
          <w:sz w:val="24"/>
          <w:szCs w:val="24"/>
          <w:lang w:eastAsia="hr-HR"/>
        </w:rPr>
        <w:t xml:space="preserve"> ograničenog prometa (sportsko-rekreacijske zone i dr.), uvjete prometovanja vozila te uvjete za izdavanje, visinu naknade i rok važenja dozvole za prometovanje vozila te uvjete ulaza, prometovanja i izlaza vozila iz zone prometa u zaštićenoj kulturno-povijesnoj cjelini i kontaktnoj zoni. Prometovanje vozila u pješačkim zonama, području središnjeg dijela Grada Zagreba i </w:t>
      </w:r>
      <w:r w:rsidR="00983EB7">
        <w:rPr>
          <w:rFonts w:ascii="Times New Roman" w:hAnsi="Times New Roman" w:cs="Times New Roman"/>
          <w:sz w:val="24"/>
          <w:szCs w:val="24"/>
          <w:lang w:eastAsia="hr-HR"/>
        </w:rPr>
        <w:t>područjima</w:t>
      </w:r>
      <w:r w:rsidRPr="00EF6F4F">
        <w:rPr>
          <w:rFonts w:ascii="Times New Roman" w:hAnsi="Times New Roman" w:cs="Times New Roman"/>
          <w:sz w:val="24"/>
          <w:szCs w:val="24"/>
          <w:lang w:eastAsia="hr-HR"/>
        </w:rPr>
        <w:t xml:space="preserve"> ograničenog prometa mora biti u skladu s naredbom propisanom stavka 7. istoga članka.</w:t>
      </w:r>
    </w:p>
    <w:p w14:paraId="6111D4DA" w14:textId="77777777" w:rsidR="00376FD5" w:rsidRPr="00EF6F4F" w:rsidRDefault="00376FD5" w:rsidP="00EF6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4F">
        <w:rPr>
          <w:rFonts w:ascii="Times New Roman" w:hAnsi="Times New Roman" w:cs="Times New Roman"/>
          <w:sz w:val="24"/>
          <w:szCs w:val="24"/>
        </w:rPr>
        <w:t xml:space="preserve">Na predloženi način propisuje se da se </w:t>
      </w:r>
      <w:r w:rsidR="00983EB7">
        <w:rPr>
          <w:rFonts w:ascii="Times New Roman" w:hAnsi="Times New Roman" w:cs="Times New Roman"/>
          <w:sz w:val="24"/>
          <w:szCs w:val="24"/>
        </w:rPr>
        <w:t>područja</w:t>
      </w:r>
      <w:r w:rsidRPr="00EF6F4F">
        <w:rPr>
          <w:rFonts w:ascii="Times New Roman" w:hAnsi="Times New Roman" w:cs="Times New Roman"/>
          <w:sz w:val="24"/>
          <w:szCs w:val="24"/>
        </w:rPr>
        <w:t xml:space="preserve"> ograničenog prometa mogu urediti i u drugim gradskim dijelovima i površinama ne samo u pješačkim zonama, odnosno u dijelovima grada koji nisu pješačke zone, a pokaže se opravdanim i potrebni da se u istima ograniči promet, kao što su sportsko rekreacijske zone, na kojima do sada nije bilo propisano da se promet može ograničiti, a koje pitanje se nastavno može urediti propisanom naredbom.</w:t>
      </w:r>
    </w:p>
    <w:p w14:paraId="041FA284" w14:textId="77777777" w:rsidR="00376FD5" w:rsidRPr="00EF6F4F" w:rsidRDefault="00376FD5" w:rsidP="00EF6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A43F8" w14:textId="77777777" w:rsidR="00376FD5" w:rsidRPr="00EF6F4F" w:rsidRDefault="00376FD5" w:rsidP="00EF6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4F">
        <w:rPr>
          <w:rFonts w:ascii="Times New Roman" w:hAnsi="Times New Roman" w:cs="Times New Roman"/>
          <w:b/>
          <w:sz w:val="24"/>
          <w:szCs w:val="24"/>
        </w:rPr>
        <w:t>III. SREDSTVA ZA PROVOĐENJE ODLUKE</w:t>
      </w:r>
      <w:r w:rsidRPr="00EF6F4F">
        <w:rPr>
          <w:rFonts w:ascii="Times New Roman" w:hAnsi="Times New Roman" w:cs="Times New Roman"/>
          <w:sz w:val="24"/>
          <w:szCs w:val="24"/>
        </w:rPr>
        <w:t xml:space="preserve"> Za provođenje ove odluke nije potrebno osigurati dodatna sredstva u Proračunu Grada Zagreba za 2024. godinu.</w:t>
      </w:r>
    </w:p>
    <w:p w14:paraId="3AFE6CC4" w14:textId="77777777" w:rsidR="00376FD5" w:rsidRPr="00EF6F4F" w:rsidRDefault="00376FD5" w:rsidP="00EF6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F75B7" w14:textId="77777777" w:rsidR="00376FD5" w:rsidRPr="00EF6F4F" w:rsidRDefault="00376FD5" w:rsidP="00EF6F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F4F">
        <w:rPr>
          <w:rFonts w:ascii="Times New Roman" w:hAnsi="Times New Roman" w:cs="Times New Roman"/>
          <w:b/>
          <w:sz w:val="24"/>
          <w:szCs w:val="24"/>
        </w:rPr>
        <w:t xml:space="preserve"> IV. OBRAZLOŽENJE ODREDABA PRIJEDLOGA ODLUKE </w:t>
      </w:r>
    </w:p>
    <w:p w14:paraId="7973D780" w14:textId="77777777" w:rsidR="00376FD5" w:rsidRPr="00EF6F4F" w:rsidRDefault="00376FD5" w:rsidP="00EF6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4F">
        <w:rPr>
          <w:rFonts w:ascii="Times New Roman" w:hAnsi="Times New Roman" w:cs="Times New Roman"/>
          <w:b/>
          <w:sz w:val="24"/>
          <w:szCs w:val="24"/>
        </w:rPr>
        <w:t>Članak 1.</w:t>
      </w:r>
      <w:r w:rsidRPr="00EF6F4F">
        <w:rPr>
          <w:rFonts w:ascii="Times New Roman" w:hAnsi="Times New Roman" w:cs="Times New Roman"/>
          <w:sz w:val="24"/>
          <w:szCs w:val="24"/>
        </w:rPr>
        <w:t xml:space="preserve"> propisuje da se u članku 3. stavku 1. točka 5. i točka 10. izričajno usklađuju sa Zakonom, a iza točke 13. Odluke dodaje se točka 14. koja glasi: “14. uvjete ulaza, prometovanja i izlaza vozila iz zone prometa u zaštićenoj kulturno-povijesnoj cjelini i kontaktnoj zoni</w:t>
      </w:r>
      <w:r w:rsidR="00EF6F4F">
        <w:rPr>
          <w:rFonts w:ascii="Times New Roman" w:hAnsi="Times New Roman" w:cs="Times New Roman"/>
          <w:sz w:val="24"/>
          <w:szCs w:val="24"/>
        </w:rPr>
        <w:t>.“</w:t>
      </w:r>
    </w:p>
    <w:p w14:paraId="6C1F4A86" w14:textId="77777777" w:rsidR="00376FD5" w:rsidRPr="00EF6F4F" w:rsidRDefault="00376FD5" w:rsidP="00EF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AEECB" w14:textId="77777777" w:rsidR="00376FD5" w:rsidRPr="00EF6F4F" w:rsidRDefault="00376FD5" w:rsidP="00EF6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4F">
        <w:rPr>
          <w:rFonts w:ascii="Times New Roman" w:hAnsi="Times New Roman" w:cs="Times New Roman"/>
          <w:b/>
          <w:sz w:val="24"/>
          <w:szCs w:val="24"/>
        </w:rPr>
        <w:t>Članak 2.</w:t>
      </w:r>
      <w:r w:rsidRPr="00EF6F4F">
        <w:rPr>
          <w:rFonts w:ascii="Times New Roman" w:hAnsi="Times New Roman" w:cs="Times New Roman"/>
          <w:sz w:val="24"/>
          <w:szCs w:val="24"/>
        </w:rPr>
        <w:t xml:space="preserve"> propisuje da se članak 11. Odluke mijenja na način da se promet biciklima odvija sukladno propisima kojima s uređuje sigurnost prometa na cestama i biciklistička infrastruktura.</w:t>
      </w:r>
    </w:p>
    <w:p w14:paraId="12279BD2" w14:textId="77777777" w:rsidR="00376FD5" w:rsidRPr="00EF6F4F" w:rsidRDefault="00376FD5" w:rsidP="00EF6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17200" w14:textId="77777777" w:rsidR="00376FD5" w:rsidRPr="00EF6F4F" w:rsidRDefault="00376FD5" w:rsidP="00EF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4F">
        <w:rPr>
          <w:rFonts w:ascii="Times New Roman" w:hAnsi="Times New Roman" w:cs="Times New Roman"/>
          <w:b/>
          <w:sz w:val="24"/>
          <w:szCs w:val="24"/>
        </w:rPr>
        <w:lastRenderedPageBreak/>
        <w:t>Članak 3.</w:t>
      </w:r>
      <w:r w:rsidRPr="00EF6F4F">
        <w:rPr>
          <w:rFonts w:ascii="Times New Roman" w:hAnsi="Times New Roman" w:cs="Times New Roman"/>
          <w:sz w:val="24"/>
          <w:szCs w:val="24"/>
        </w:rPr>
        <w:t xml:space="preserve"> propisuje da se članak 12. Odluke mijenja i istim se sada propisuje distinkcija između pješačkog dijela prijelaza i prijelaza vozača bicikla preko ceste, te se nastavno propisuje da prilikom izgradnje ili rekonstrukcije cesta, prilaz biciklističke staze pješačko-biciklističkom prijelazu u pravilu treba projektirati i izvoditi odvojenog od pješačkog dijela staze ugradbom rubnjaka u visini 2-3 cm i u duljini od najmanje 1 m.</w:t>
      </w:r>
    </w:p>
    <w:p w14:paraId="2ACF3202" w14:textId="77777777" w:rsidR="00376FD5" w:rsidRPr="00EF6F4F" w:rsidRDefault="00376FD5" w:rsidP="00EF6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E3F8E" w14:textId="77777777" w:rsidR="00376FD5" w:rsidRPr="00EF6F4F" w:rsidRDefault="00376FD5" w:rsidP="00EF6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F6F4F">
        <w:rPr>
          <w:rFonts w:ascii="Times New Roman" w:hAnsi="Times New Roman" w:cs="Times New Roman"/>
          <w:b/>
          <w:sz w:val="24"/>
          <w:szCs w:val="24"/>
        </w:rPr>
        <w:t>Članak 4.</w:t>
      </w:r>
      <w:r w:rsidRPr="00EF6F4F">
        <w:rPr>
          <w:rFonts w:ascii="Times New Roman" w:hAnsi="Times New Roman" w:cs="Times New Roman"/>
          <w:sz w:val="24"/>
          <w:szCs w:val="24"/>
        </w:rPr>
        <w:t xml:space="preserve"> propisuje da se članka 20. Odluke mijenja, te se istim propisuje da je </w:t>
      </w:r>
      <w:r w:rsidRPr="00EF6F4F">
        <w:rPr>
          <w:rFonts w:ascii="Times New Roman" w:hAnsi="Times New Roman" w:cs="Times New Roman"/>
          <w:sz w:val="24"/>
          <w:szCs w:val="24"/>
          <w:lang w:eastAsia="hr-HR"/>
        </w:rPr>
        <w:t xml:space="preserve">u pješačkim zonama zabranjen je promet motornih vozila, osim vozila s posebnom dozvolom za prometovanje motornih vozila uz plaćanje naknade, uz iznimku da, fizičke osobe koje imaju prijavljeno prebivalište i osigurano parkirališno mjesto u dvorištu ili garaži, u pješačkoj zoni ne plaćaju naknadu iz stavka 1. ovoga članka. Nadalje, visinu i način plaćanja naknade iz stavka 1. ovoga članka određuje gradonačelnik. </w:t>
      </w:r>
      <w:r w:rsidR="00983EB7">
        <w:rPr>
          <w:rFonts w:ascii="Times New Roman" w:hAnsi="Times New Roman" w:cs="Times New Roman"/>
          <w:sz w:val="24"/>
          <w:szCs w:val="24"/>
        </w:rPr>
        <w:t>Osim u pješačkoj zoni, područja</w:t>
      </w:r>
      <w:r w:rsidRPr="00EF6F4F">
        <w:rPr>
          <w:rFonts w:ascii="Times New Roman" w:hAnsi="Times New Roman" w:cs="Times New Roman"/>
          <w:sz w:val="24"/>
          <w:szCs w:val="24"/>
        </w:rPr>
        <w:t xml:space="preserve"> ograničenog prometa mogu se urediti i u drugim gradskim dijelovima i površinama. U </w:t>
      </w:r>
      <w:r w:rsidR="00983EB7">
        <w:rPr>
          <w:rFonts w:ascii="Times New Roman" w:hAnsi="Times New Roman" w:cs="Times New Roman"/>
          <w:sz w:val="24"/>
          <w:szCs w:val="24"/>
        </w:rPr>
        <w:t>područjima</w:t>
      </w:r>
      <w:r w:rsidRPr="00EF6F4F">
        <w:rPr>
          <w:rFonts w:ascii="Times New Roman" w:hAnsi="Times New Roman" w:cs="Times New Roman"/>
          <w:sz w:val="24"/>
          <w:szCs w:val="24"/>
        </w:rPr>
        <w:t xml:space="preserve"> ograničenog prometa dopušten je promet vozilima s posebnom dozvolom za prometovanje motornih vozila uz plaćanje naknade. Pravo da se u pod</w:t>
      </w:r>
      <w:r w:rsidRPr="00EF6F4F">
        <w:rPr>
          <w:rFonts w:ascii="Times New Roman" w:hAnsi="Times New Roman" w:cs="Times New Roman"/>
          <w:sz w:val="24"/>
          <w:szCs w:val="24"/>
          <w:lang w:eastAsia="hr-HR"/>
        </w:rPr>
        <w:t xml:space="preserve">ručju središnjeg dijela Grada Zagreba i područjima ograničenog prometa vozila opskrbe i druga vozila mogu prometovati sukladno posebnim uvjetima. Gradonačelnik, uz prethodnu suglasnost nadležne policijske uprave, naredbom određuje pješačke zone, područje središnjeg dijela Grada Zagreba, </w:t>
      </w:r>
      <w:r w:rsidR="00983EB7">
        <w:rPr>
          <w:rFonts w:ascii="Times New Roman" w:hAnsi="Times New Roman" w:cs="Times New Roman"/>
          <w:sz w:val="24"/>
          <w:szCs w:val="24"/>
          <w:lang w:eastAsia="hr-HR"/>
        </w:rPr>
        <w:t>područja</w:t>
      </w:r>
      <w:r w:rsidRPr="00EF6F4F">
        <w:rPr>
          <w:rFonts w:ascii="Times New Roman" w:hAnsi="Times New Roman" w:cs="Times New Roman"/>
          <w:sz w:val="24"/>
          <w:szCs w:val="24"/>
          <w:lang w:eastAsia="hr-HR"/>
        </w:rPr>
        <w:t xml:space="preserve"> ograničenog prometa (sportsko-rekreacijske zone i dr.), uvjete prometovanja vozila te uvjete za izdavanje, visinu naknade i rok važenja dozvole za prometovanje vozila, te uvjete ulaza, prometovanja i izlaza vozila iz zone prometa u zaštićenoj kulturno-povijesnoj cjelini i kontaktnoj zoni. Prometovanje vozila u pješačkim zonama, području središnjeg dijela Grada Zagreba i </w:t>
      </w:r>
      <w:r w:rsidR="00983EB7">
        <w:rPr>
          <w:rFonts w:ascii="Times New Roman" w:hAnsi="Times New Roman" w:cs="Times New Roman"/>
          <w:sz w:val="24"/>
          <w:szCs w:val="24"/>
          <w:lang w:eastAsia="hr-HR"/>
        </w:rPr>
        <w:t>područjima</w:t>
      </w:r>
      <w:r w:rsidRPr="00EF6F4F">
        <w:rPr>
          <w:rFonts w:ascii="Times New Roman" w:hAnsi="Times New Roman" w:cs="Times New Roman"/>
          <w:sz w:val="24"/>
          <w:szCs w:val="24"/>
          <w:lang w:eastAsia="hr-HR"/>
        </w:rPr>
        <w:t xml:space="preserve"> ograničenog prometa mora biti u skladu s naredbom propisanom stavkom 7. istoga članka. </w:t>
      </w:r>
    </w:p>
    <w:p w14:paraId="429919B4" w14:textId="77777777" w:rsidR="00376FD5" w:rsidRPr="00EF6F4F" w:rsidRDefault="00376FD5" w:rsidP="00EF6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67BF68B" w14:textId="77777777" w:rsidR="00376FD5" w:rsidRPr="00EF6F4F" w:rsidRDefault="00376FD5" w:rsidP="00EF6F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F6F4F">
        <w:rPr>
          <w:rFonts w:ascii="Times New Roman" w:hAnsi="Times New Roman" w:cs="Times New Roman"/>
          <w:b/>
          <w:sz w:val="24"/>
          <w:szCs w:val="24"/>
          <w:lang w:eastAsia="hr-HR"/>
        </w:rPr>
        <w:t>Članak 5.</w:t>
      </w:r>
      <w:r w:rsidRPr="00EF6F4F">
        <w:rPr>
          <w:rFonts w:ascii="Times New Roman" w:hAnsi="Times New Roman" w:cs="Times New Roman"/>
          <w:sz w:val="24"/>
          <w:szCs w:val="24"/>
          <w:lang w:eastAsia="hr-HR"/>
        </w:rPr>
        <w:t xml:space="preserve"> propisuje da se u članku 21. Odluke iza riječi: „zonama“ dodaju se riječi: „i </w:t>
      </w:r>
      <w:r w:rsidR="00983EB7">
        <w:rPr>
          <w:rFonts w:ascii="Times New Roman" w:hAnsi="Times New Roman" w:cs="Times New Roman"/>
          <w:sz w:val="24"/>
          <w:szCs w:val="24"/>
          <w:lang w:eastAsia="hr-HR"/>
        </w:rPr>
        <w:t>područjima</w:t>
      </w:r>
      <w:r w:rsidRPr="00EF6F4F">
        <w:rPr>
          <w:rFonts w:ascii="Times New Roman" w:hAnsi="Times New Roman" w:cs="Times New Roman"/>
          <w:sz w:val="24"/>
          <w:szCs w:val="24"/>
          <w:lang w:eastAsia="hr-HR"/>
        </w:rPr>
        <w:t xml:space="preserve"> ograničenog prometa“, a broj: „5.“ zamjenjuje se brojem:  „7.“.</w:t>
      </w:r>
    </w:p>
    <w:p w14:paraId="5CADF867" w14:textId="77777777" w:rsidR="00376FD5" w:rsidRPr="00EF6F4F" w:rsidRDefault="00376FD5" w:rsidP="00EF6F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91F7351" w14:textId="77777777" w:rsidR="00376FD5" w:rsidRPr="00EF6F4F" w:rsidRDefault="00376FD5" w:rsidP="00EF6F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4F">
        <w:rPr>
          <w:rFonts w:ascii="Times New Roman" w:hAnsi="Times New Roman" w:cs="Times New Roman"/>
          <w:b/>
          <w:sz w:val="24"/>
          <w:szCs w:val="24"/>
          <w:lang w:eastAsia="hr-HR"/>
        </w:rPr>
        <w:t>Člankom 6.</w:t>
      </w:r>
      <w:r w:rsidRPr="00EF6F4F">
        <w:rPr>
          <w:rFonts w:ascii="Times New Roman" w:hAnsi="Times New Roman" w:cs="Times New Roman"/>
          <w:sz w:val="24"/>
          <w:szCs w:val="24"/>
          <w:lang w:eastAsia="hr-HR"/>
        </w:rPr>
        <w:t xml:space="preserve"> propisuje dan stupanja na snagu ove o</w:t>
      </w:r>
      <w:r w:rsidRPr="00EF6F4F">
        <w:rPr>
          <w:rFonts w:ascii="Times New Roman" w:hAnsi="Times New Roman" w:cs="Times New Roman"/>
          <w:sz w:val="24"/>
          <w:szCs w:val="24"/>
        </w:rPr>
        <w:t>dluke, sukladno članku 119. stavku 2. Poslovnika Gradske skupštine Grada Zagreba (Službeni glasnik Grada Zagreba 15/23), kojem je propisano da odluke i drugi opći akti stupaju na snagu najranije osmoga dana od dana objave.</w:t>
      </w:r>
    </w:p>
    <w:p w14:paraId="6697B37B" w14:textId="77777777" w:rsidR="00376FD5" w:rsidRPr="00EF6F4F" w:rsidRDefault="00376FD5" w:rsidP="00EF6F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D5358" w14:textId="77777777" w:rsidR="00376FD5" w:rsidRPr="00EF6F4F" w:rsidRDefault="00376FD5" w:rsidP="00EF6F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332C2" w14:textId="4981AC57" w:rsidR="00376FD5" w:rsidRPr="00F46E93" w:rsidRDefault="00376FD5" w:rsidP="00F46E9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376FD5" w:rsidRPr="00F4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8FA"/>
    <w:multiLevelType w:val="hybridMultilevel"/>
    <w:tmpl w:val="41FA699A"/>
    <w:lvl w:ilvl="0" w:tplc="E5E8837A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" w15:restartNumberingAfterBreak="0">
    <w:nsid w:val="54021F92"/>
    <w:multiLevelType w:val="multilevel"/>
    <w:tmpl w:val="BE74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1620705">
    <w:abstractNumId w:val="1"/>
  </w:num>
  <w:num w:numId="2" w16cid:durableId="1006438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33"/>
    <w:rsid w:val="00026241"/>
    <w:rsid w:val="000B15FE"/>
    <w:rsid w:val="001374EA"/>
    <w:rsid w:val="0018343F"/>
    <w:rsid w:val="001E4668"/>
    <w:rsid w:val="002A137F"/>
    <w:rsid w:val="002A30AE"/>
    <w:rsid w:val="002C5AC7"/>
    <w:rsid w:val="00376FD5"/>
    <w:rsid w:val="003F2F8C"/>
    <w:rsid w:val="00413B2A"/>
    <w:rsid w:val="00476A3A"/>
    <w:rsid w:val="004B5233"/>
    <w:rsid w:val="00572E9F"/>
    <w:rsid w:val="007102A3"/>
    <w:rsid w:val="00775133"/>
    <w:rsid w:val="007A6A46"/>
    <w:rsid w:val="00836375"/>
    <w:rsid w:val="00845D6F"/>
    <w:rsid w:val="0087738D"/>
    <w:rsid w:val="00983EB7"/>
    <w:rsid w:val="00A362AE"/>
    <w:rsid w:val="00AE4703"/>
    <w:rsid w:val="00C61B6B"/>
    <w:rsid w:val="00CB3554"/>
    <w:rsid w:val="00E812CE"/>
    <w:rsid w:val="00EF6F4F"/>
    <w:rsid w:val="00F05375"/>
    <w:rsid w:val="00F46E93"/>
    <w:rsid w:val="00FB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5E19"/>
  <w15:chartTrackingRefBased/>
  <w15:docId w15:val="{DB19DBD8-66F6-49A5-B9BD-702F82C0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B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B523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362A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6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2AE"/>
    <w:rPr>
      <w:rFonts w:ascii="Segoe UI" w:hAnsi="Segoe UI" w:cs="Segoe UI"/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unhideWhenUsed/>
    <w:rsid w:val="00376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76FD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376FD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2136</Words>
  <Characters>12178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Berlajolli</dc:creator>
  <cp:keywords/>
  <dc:description/>
  <cp:lastModifiedBy>Ivana Krišto</cp:lastModifiedBy>
  <cp:revision>2</cp:revision>
  <cp:lastPrinted>2024-01-09T09:44:00Z</cp:lastPrinted>
  <dcterms:created xsi:type="dcterms:W3CDTF">2024-01-19T20:02:00Z</dcterms:created>
  <dcterms:modified xsi:type="dcterms:W3CDTF">2024-01-19T20:02:00Z</dcterms:modified>
</cp:coreProperties>
</file>